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Autos nº (…)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já qualificado nos autos da execução para entrega de coisa certa que move em face de (...), vem, respeitosamente, perante Vossa Excelência, expor e requerer o quanto segue: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executado aduz, em síntese, que “aforou ação declaratória de nulidade de ato jurídico”, em face do exequente, em (...), que a citação para a presente ação de execução se deu em (...) e, por tal razão, em virtude de “conexão” (sic), Vossa Excelência deveria “avocar” a ação ordinária perante a (...) Vara Cível para julgamento simultâneo.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Requer, ainda, o executado, a lavratura do termo de depósito para apresentação de embargos.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há o mínimo fundamento jurídico e legal para qualquer das absurdas pretensões perpetradas: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PRETENSA REUNIÃO DE AÇÕES PARA JULGAMENTO CONJUNTO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Em verdade, acorde com os mandamentos insculpidos nos arts. 240 e 312 do Código de Processo Civil, a partir da distribuição desta ação executiva em (...), todos os efeitos do art. 240 passaram a ser verificados, vez que houve citação válida em(...).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Demais disso, não há falar-se em conexão de ação executiva com ação de conhecimento por uma simples razãojurídica: não há julgamento de mérito na ação de execução!</w:t>
      </w:r>
      <w:bookmarkStart w:id="0" w:name="_bookmark178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Preleciona o grande Liebman, diferenciando o pedido do processo de conhecimento daquele do processo de execução, que se baseia no título executório: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Que determina inquestionavelmente – para os efeitos da   execução – a regra sancionadora que deve ser efetivada: não cabe mais ao juiz julgar,  as, simplesmente, realizar as atividades decorrentes do conteúdo do título. O pedido do exequente visa provocar estas atividades. A tarefa do juiz consiste apenas em realizá-las.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jurisprudência é clara nesse sentido: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i/>
          <w:iCs/>
          <w:sz w:val="28"/>
          <w:szCs w:val="28"/>
        </w:rPr>
        <w:t>Segundo Tribunal de Alçada Civil de São Paulo. “Conexão – despejo cumulado com cobrança de  alugueres  em  face do  locatário e   execução contra o fiador – inexistência. Inexiste conexão entre asações de execução e de despejo, esta cumulada com pedido de cobrança dos aluguéis inadimplidos. E isto porque, não bastasse a diversidade das partes (apenas o credor figura como sujeito ativo emambos osprocessos, figurando como passivos,  respectivamente,  fiador  no processo de execução e a ex-locatária no de conhecimento),  tambémsão totalmente distintos os elementos objetivos e causais das ações em testilha. Mas mesmo que conexão houvesse,  de modo algum  acarretaria  a reunião dos processos para os fins  colimados  pelo art.  105 do Código de Processo Civil [atual art. 57] (julgamento  ‘simultaneus  processus’), pela simples razão de que inexiste, no processo de execução, tal julgamento de mérito” (Apel. c/ Rev. nº 501.203 – 7ª Câm. – rel.  Juiz Antonio Marcato – j. em 17.02.1998).</w:t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i/>
          <w:iCs/>
          <w:sz w:val="28"/>
          <w:szCs w:val="28"/>
        </w:rPr>
        <w:t>Primeiro Tribunal de  Alçada  Civil de  São Paulo.  “Conexão – pretensão  à reunião de ações de execução e de conhecimento – impossibilidade – recurso desprovido. Anotações da Comissão: no mesmo sentido: AC 398.389-1, relator: Pinheiro Franco” (Agravo de Instrumento nº 397.088- 0/00 – 8ª Câmara – 12.10.1988 – relator: Raphael  Salvador,  unânime).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DECURSO, IN ALBIS, DO PRAZO PARA ENTREGA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Outrossim, verifica-se que não houve a necessária entrega, que pressupõe a desocupação, o desapossamento do bem nos termos do art. 806 do Código de Processo 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1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REQUERIMENTO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posto, requer-se o prosseguimento da presente execução, já que não há falar-se em reunião dos processos para julgamento conjunto por absoluta incompatibilidade procedimental.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Sendo assim, decorrido in albis o prazo para depósito ou entrega  do bem, requer o exequente a expedição do competente mandado de imissão na posse do imóvel objeto da presente execução nos termos do art. 806, § 2º, do Código de ProcessoCivil.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Reitera, ainda, o pedido constante do item “c” da exordial, consistente na expedição de mandado para registro do ato de citação do executado junto à respectiva matrícula do imóvel, em consonância com o art. 167, I, nº 21 da Lei de Registros Públicos (Lei 6.015/1973), para advertir terceiros de que o bem está sub judice.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Observa-se que às fls. (...), Vossa Excelência declinou que apreciaria este pedido após a citação, que já ocorreu.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Outrossim, reitera também o pedido do item “d” da inicial, para que Vossa Excelência fixe os honorários para a presente execução nos termos do art. 85 § 1º do Código de Processo 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620" w:right="1600" w:header="0" w:top="1580" w:footer="881" w:bottom="10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528" w:hanging="151"/>
      </w:pPr>
      <w:rPr>
        <w:sz w:val="27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1336" w:hanging="1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3" w:hanging="1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69" w:hanging="1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86" w:hanging="1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02" w:hanging="1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19" w:hanging="1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5" w:hanging="1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52" w:hanging="15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f444d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f444d7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f444d7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f444d7"/>
    <w:rPr>
      <w:rFonts w:ascii="Arial" w:hAnsi="Arial" w:eastAsia="Arial" w:cs="Arial"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f444d7"/>
    <w:rPr>
      <w:rFonts w:ascii="Tahoma" w:hAnsi="Tahoma" w:eastAsia="Arial" w:cs="Tahoma"/>
      <w:sz w:val="16"/>
      <w:szCs w:val="16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b93915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b93915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Arial" w:cs="Arial"/>
      <w:b/>
      <w:bCs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f444d7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444d7"/>
    <w:pPr/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b93915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b93915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LibreOffice/4.3.0.4$Windows_x86 LibreOffice_project/62ad5818884a2fc2e5780dd45466868d41009ec0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2016-03-16T21:48:00Z</dcterms:created>
  <dc:creator>Jessica Medeiros</dc:creator>
  <dc:language>pt-BR</dc:language>
  <dcterms:modified xsi:type="dcterms:W3CDTF">2016-03-18T14:18:11Z</dcterms:modified>
  <cp:revision>3</cp:revision>
</cp:coreProperties>
</file>